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5147" w14:textId="77777777" w:rsidR="00E04CD5" w:rsidRPr="00E04CD5" w:rsidRDefault="00E04CD5" w:rsidP="00E04CD5">
      <w:pPr>
        <w:shd w:val="clear" w:color="auto" w:fill="FFFFFF"/>
        <w:spacing w:before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es-419"/>
          <w14:ligatures w14:val="none"/>
        </w:rPr>
      </w:pPr>
      <w:r w:rsidRPr="00E04CD5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es-419"/>
          <w14:ligatures w14:val="none"/>
        </w:rPr>
        <w:t>Exposición de pósteres</w:t>
      </w:r>
    </w:p>
    <w:p w14:paraId="68FBC145" w14:textId="77777777" w:rsidR="000D1F83" w:rsidRPr="00E04CD5" w:rsidRDefault="000D1F83" w:rsidP="00E04CD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</w:pPr>
      <w:r w:rsidRP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A continuación, se informa el día y n° de panel donde cada autor debe colgar su póster, </w:t>
      </w:r>
      <w:r w:rsid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y </w:t>
      </w:r>
      <w:r w:rsidRP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el horario del turno en el cual se lo invita a exponer el mismo. </w:t>
      </w:r>
    </w:p>
    <w:p w14:paraId="1D3261EA" w14:textId="77777777" w:rsidR="000D1F83" w:rsidRPr="00E04CD5" w:rsidRDefault="000D1F83" w:rsidP="00E04CD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</w:pPr>
      <w:r w:rsidRP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Los </w:t>
      </w:r>
      <w:r w:rsidR="00E04CD5" w:rsidRP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pósteres exhibidos cada día</w:t>
      </w:r>
      <w:r w:rsidRPr="00E04CD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, deben ser colgados ese mismo día a las 8:00hs y ser retirados al finalizar la jornada.</w:t>
      </w:r>
    </w:p>
    <w:p w14:paraId="30E30C6D" w14:textId="77777777" w:rsidR="00E04CD5" w:rsidRPr="00E04CD5" w:rsidRDefault="00E04CD5" w:rsidP="00E04CD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</w:pPr>
      <w:r w:rsidRPr="00E04CD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>Día miércoles 7 de junio</w:t>
      </w:r>
    </w:p>
    <w:p w14:paraId="116070D7" w14:textId="77777777" w:rsidR="00E04CD5" w:rsidRPr="00E04CD5" w:rsidRDefault="00E04CD5" w:rsidP="000D1F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kern w:val="0"/>
          <w:sz w:val="20"/>
          <w:szCs w:val="20"/>
          <w:lang w:eastAsia="es-419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119"/>
        <w:gridCol w:w="1300"/>
        <w:gridCol w:w="471"/>
        <w:gridCol w:w="1335"/>
        <w:gridCol w:w="5210"/>
      </w:tblGrid>
      <w:tr w:rsidR="00E04CD5" w:rsidRPr="00243C12" w14:paraId="232661E5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5A745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N°</w:t>
            </w:r>
            <w:proofErr w:type="spellEnd"/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 xml:space="preserve"> panel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EE0A1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N° póster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47C3CCE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Turno de exposición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D358D25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Eje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A7483E8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 xml:space="preserve">Apellido </w:t>
            </w:r>
            <w:r w:rsidRPr="00243C1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 xml:space="preserve">del </w:t>
            </w: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autor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2F52F5A" w14:textId="77777777" w:rsidR="000D1F83" w:rsidRPr="000D1F83" w:rsidRDefault="000D1F83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419"/>
                <w14:ligatures w14:val="none"/>
              </w:rPr>
              <w:t>Título</w:t>
            </w:r>
          </w:p>
        </w:tc>
      </w:tr>
      <w:tr w:rsidR="00E04CD5" w:rsidRPr="00243C12" w14:paraId="63E9367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64BA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05D9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29</w:t>
            </w:r>
          </w:p>
        </w:tc>
        <w:tc>
          <w:tcPr>
            <w:tcW w:w="1301" w:type="dxa"/>
            <w:vMerge w:val="restart"/>
            <w:shd w:val="clear" w:color="auto" w:fill="FFCC99"/>
            <w:noWrap/>
            <w:vAlign w:val="center"/>
            <w:hideMark/>
          </w:tcPr>
          <w:p w14:paraId="1FE35E99" w14:textId="77777777" w:rsidR="000D1F83" w:rsidRPr="000D1F83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10: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-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13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:00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0B0C6E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8CB9C6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Acosta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63B16DF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Eficacia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tebuconazole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Tesol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25 SC) para control de la podredumbre amarga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Geotrichum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citri-aurantii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frutos de limón de Tucumán</w:t>
            </w:r>
          </w:p>
        </w:tc>
      </w:tr>
      <w:tr w:rsidR="00E04CD5" w:rsidRPr="00243C12" w14:paraId="7D9C5AD8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C2C3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8BC1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774286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E3EC8C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A9D14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Acosta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12CDD621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Eficacia del bio-producto NAT4BIO para control del moho verde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Penicillium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digitatum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frutos de limón</w:t>
            </w:r>
          </w:p>
        </w:tc>
      </w:tr>
      <w:tr w:rsidR="00E04CD5" w:rsidRPr="00243C12" w14:paraId="4BF27B49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0CC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4EEF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31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0BBFFD8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F6EEE2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DB41A0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Acosta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15744AD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Relevamiento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tipo B, causada por la bacteria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Xanthomonas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pv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.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aurantifolii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, en frutos de limón de Tucumán</w:t>
            </w:r>
          </w:p>
        </w:tc>
      </w:tr>
      <w:tr w:rsidR="00E04CD5" w:rsidRPr="00243C12" w14:paraId="492DF53A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0829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E202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32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B35A2A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3AE035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5C2E13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Acuña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04604AB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Eficiencia del Sulfato de Cobre en el control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mandarinas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Clemenules</w:t>
            </w:r>
            <w:proofErr w:type="spellEnd"/>
          </w:p>
        </w:tc>
      </w:tr>
      <w:tr w:rsidR="00E04CD5" w:rsidRPr="00243C12" w14:paraId="4D985073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59B8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B206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33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0FA7751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643405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D07BBF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Acuña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CC2F0B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control de mancha negra causada </w:t>
            </w:r>
            <w:r w:rsidR="00E04CD5" w:rsidRPr="00243C1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por </w:t>
            </w:r>
            <w:proofErr w:type="spellStart"/>
            <w:r w:rsidR="00E04CD5" w:rsidRPr="00243C1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Phyllosticta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citricarpa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mandarina híbrida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Nadorcott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con sulfato de cobre</w:t>
            </w:r>
          </w:p>
        </w:tc>
      </w:tr>
      <w:tr w:rsidR="00E04CD5" w:rsidRPr="00243C12" w14:paraId="6E7B9433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334A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8B61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34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150DDFF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055609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6676F9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Aguirre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9312C4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residuos agroindustriales como alternativas de control frente a la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los cítricos</w:t>
            </w:r>
          </w:p>
        </w:tc>
      </w:tr>
      <w:tr w:rsidR="00E04CD5" w:rsidRPr="00243C12" w14:paraId="0CABD64B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1599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6F9C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35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11AA28A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7E6802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0D06C0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Aguirre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06CD4A66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Alternativas en el manejo de hojarasca de citrus como herramientas complementarias para el control de Mancha Negra</w:t>
            </w:r>
          </w:p>
        </w:tc>
      </w:tr>
      <w:tr w:rsidR="00E04CD5" w:rsidRPr="00243C12" w14:paraId="3F91B980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8A74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72DA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36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AB05DF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B11294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C69D8F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Aguirre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03B4865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Distribución de la mosquita de la flor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Contarinia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maculipennis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quintas comerciales de limón en Bella Vista Corrientes, Argentina</w:t>
            </w:r>
          </w:p>
        </w:tc>
      </w:tr>
      <w:tr w:rsidR="00E04CD5" w:rsidRPr="00243C12" w14:paraId="405F8D60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648C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3D07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37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2D823A7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809555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1B1B2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Amorós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FEE9F3C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Utilización de trampas de luz negra para el trampeo de adultos del taladro de los cítricos,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Diploschema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rotundicolle</w:t>
            </w:r>
            <w:proofErr w:type="spellEnd"/>
          </w:p>
        </w:tc>
      </w:tr>
      <w:tr w:rsidR="00E04CD5" w:rsidRPr="00243C12" w14:paraId="292C7A43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F67C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D173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38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197024E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E443A7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A838F7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Aranda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423B6E6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Tecnología de CRISPR-Cas12 aplicada al diagnóstico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Candidatus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Liberibacter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asiaticus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, agente causal del HLB</w:t>
            </w:r>
          </w:p>
        </w:tc>
      </w:tr>
      <w:tr w:rsidR="00E04CD5" w:rsidRPr="00243C12" w14:paraId="12CD29CB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B149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28E5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39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458ABDF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6A6DFA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ADF3DF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Asutín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15847F3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Control Biológico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Kuwayama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Uruguay: implementación de la cría masiva del parasitoide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Tamarixia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radiata</w:t>
            </w:r>
          </w:p>
        </w:tc>
      </w:tr>
      <w:tr w:rsidR="00E04CD5" w:rsidRPr="00243C12" w14:paraId="6B3EE54E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9158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BD28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40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5BD77F5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53E378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EE6067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Badaracco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09931951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Estudios de diversidad genética en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Candidatus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Liberibacter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asiaticus</w:t>
            </w:r>
            <w:proofErr w:type="spellEnd"/>
          </w:p>
        </w:tc>
      </w:tr>
      <w:tr w:rsidR="00E04CD5" w:rsidRPr="00243C12" w14:paraId="46CEE502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FD9F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9EA0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41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7E37D0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D3FA29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D4D9E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Barbera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5C662F4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Pulverización electrostática: Una alternativa de aplicación de fitosanitarios en limonero</w:t>
            </w:r>
          </w:p>
        </w:tc>
      </w:tr>
      <w:tr w:rsidR="00E04CD5" w:rsidRPr="00243C12" w14:paraId="445C36D5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46AA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D265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42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FE5D4D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F231D2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121AA3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Brochero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38D074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Prueba de productos a base de extractos vegetales, caolín y aceite agrícola para el manejo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Hemiptera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Liviidae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Zona Bananera, (Colombia)</w:t>
            </w:r>
          </w:p>
        </w:tc>
      </w:tr>
      <w:tr w:rsidR="00E04CD5" w:rsidRPr="00243C12" w14:paraId="6111D1C4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06AA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7C03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43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D95BF0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4CDEFC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B74210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Buenahora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123AF88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insecticidas de bajo impacto para el control del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psílido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asiático de los cítricos,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su efecto sobre el parasitoide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Tamarixia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radiata</w:t>
            </w:r>
          </w:p>
        </w:tc>
      </w:tr>
      <w:tr w:rsidR="00E04CD5" w:rsidRPr="00243C12" w14:paraId="4D6C48F6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9327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2703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44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197345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0C0937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6E671E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Carrizo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11ADA3A9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Diversidad y abundancia de Coccinélidos (Coleóptera: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Coccinelidae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plantaciones comerciales de limoneros en Tucumán, Argentina</w:t>
            </w:r>
          </w:p>
        </w:tc>
      </w:tr>
      <w:tr w:rsidR="00E04CD5" w:rsidRPr="00243C12" w14:paraId="26790A52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7D28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4FBC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45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448C06F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AF40D5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FB1AE9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Conte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E8459E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Determinación de la capacidad antibacteriana del “Producto limpiador de frutas y hortalizas” para el manejo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Xanthomonas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subsp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.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</w:p>
        </w:tc>
      </w:tr>
      <w:tr w:rsidR="00E04CD5" w:rsidRPr="00243C12" w14:paraId="2B37F805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DAFC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C28E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46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2BDACD3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3FF648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C0C66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Figueroa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987D66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El Centro de Saneamiento de Citrus de la EEAOC</w:t>
            </w:r>
          </w:p>
        </w:tc>
      </w:tr>
      <w:tr w:rsidR="00E04CD5" w:rsidRPr="00243C12" w14:paraId="4831E630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294C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39D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47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2C3DD1E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AA955D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D4E0BC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Fogliata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6272E8F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Eficacia in vitro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Serifel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Bacillus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amyloliquefaciens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cepa MBI 600) para inhibir el crecimiento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Phyllosticta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citricarpa</w:t>
            </w:r>
            <w:proofErr w:type="spellEnd"/>
          </w:p>
        </w:tc>
      </w:tr>
      <w:tr w:rsidR="00E04CD5" w:rsidRPr="00243C12" w14:paraId="16118E34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888C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A6E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48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640450A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497C56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7BED7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Fogliata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652805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Residuos de cobre sobre la superficie de los frutos de limón y su relación con la eficacia de control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, en Tucumán, Argentina</w:t>
            </w:r>
          </w:p>
        </w:tc>
      </w:tr>
      <w:tr w:rsidR="00E04CD5" w:rsidRPr="00243C12" w14:paraId="58DE18AE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90E2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0968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49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46CC9BC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280109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609EDC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Fogliata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5F526CA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Relación entre las condiciones climáticas y la intensidad de melanosis en limón, en Tucumán, Argentina</w:t>
            </w:r>
          </w:p>
        </w:tc>
      </w:tr>
      <w:tr w:rsidR="00E04CD5" w:rsidRPr="00243C12" w14:paraId="6871C1A2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5AA7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8AC1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50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0CFE853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B492B7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114DBE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Giancola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8441F4D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Control del vector del HLB con manejo integrado de plagas en Argentina, Uruguay y Paraguay</w:t>
            </w:r>
          </w:p>
        </w:tc>
      </w:tr>
      <w:tr w:rsidR="00E04CD5" w:rsidRPr="00243C12" w14:paraId="1A505957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E5D0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30AE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51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326902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974ACE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C196B6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Gochez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6399685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Análisis de los niveles de expresión del gen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Vitelogenina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A1-like en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, vector de la enfermedad del HLB</w:t>
            </w:r>
          </w:p>
        </w:tc>
      </w:tr>
      <w:tr w:rsidR="00E04CD5" w:rsidRPr="00243C12" w14:paraId="4EEDF34E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01D2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BEE2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52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E1C782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53B5C0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146077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Gómez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698CC9A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Evolución y visión del diagnóstico de enfermedades de cítricos en el Laboratorio de Protección Vegetal y Biotecnología EEA Concordia</w:t>
            </w:r>
          </w:p>
        </w:tc>
      </w:tr>
      <w:tr w:rsidR="00E04CD5" w:rsidRPr="00243C12" w14:paraId="55E3C6DA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DC7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689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53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7B577B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7BDC81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6B2383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Joris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E23FE68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Identificación y prevalencia de viroides en la Región Citrícola del Río Uruguay</w:t>
            </w:r>
          </w:p>
        </w:tc>
      </w:tr>
      <w:tr w:rsidR="00E04CD5" w:rsidRPr="00243C12" w14:paraId="613F80D6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088B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8AC9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54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06210E5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D300D6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7DF9A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Kulczycki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6E0984D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Curvas de degradación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estrobilurinas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el control de mancha negra en cítricos con destino a UE</w:t>
            </w:r>
          </w:p>
        </w:tc>
      </w:tr>
      <w:tr w:rsidR="00E04CD5" w:rsidRPr="00243C12" w14:paraId="0D78630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E7AC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98A8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55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7744FDA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CC456A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33DDE5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Lagarde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786E7D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Desarrollo de metodología analítica para la evaluación química en condiciones de laboratorio del patrón de emisión de trampas utilizadas en trampeo masivo de mosca de la fruta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Ceratitis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capitata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Uruguay</w:t>
            </w:r>
          </w:p>
        </w:tc>
      </w:tr>
      <w:tr w:rsidR="00E04CD5" w:rsidRPr="00243C12" w14:paraId="60089A9F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C823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CADC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56</w:t>
            </w:r>
          </w:p>
        </w:tc>
        <w:tc>
          <w:tcPr>
            <w:tcW w:w="1301" w:type="dxa"/>
            <w:vMerge/>
            <w:shd w:val="clear" w:color="auto" w:fill="FFCC99"/>
            <w:vAlign w:val="center"/>
            <w:hideMark/>
          </w:tcPr>
          <w:p w14:paraId="3AC2B84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B245C9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014D8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Lizondo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606DAE6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la técnica de confusión sexual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Aonidiella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aurantii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Maskell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Hemiptera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Diaspididae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con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CheckMate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® CRS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Suterra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limón</w:t>
            </w:r>
          </w:p>
        </w:tc>
      </w:tr>
      <w:tr w:rsidR="00E04CD5" w:rsidRPr="00243C12" w14:paraId="1FAA85DB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A34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4824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57</w:t>
            </w:r>
          </w:p>
        </w:tc>
        <w:tc>
          <w:tcPr>
            <w:tcW w:w="1301" w:type="dxa"/>
            <w:vMerge w:val="restart"/>
            <w:shd w:val="clear" w:color="auto" w:fill="FF9933"/>
            <w:noWrap/>
            <w:vAlign w:val="center"/>
            <w:hideMark/>
          </w:tcPr>
          <w:p w14:paraId="63A6D36E" w14:textId="77777777" w:rsidR="000D1F83" w:rsidRPr="000D1F83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15: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-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16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: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20A038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536CA8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Lizondo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2039CFE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Fluctuación poblacional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Eriophyes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sheldoni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(Ewing)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Actinedida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Eriophyidae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la provincia de Tucumán</w:t>
            </w:r>
          </w:p>
        </w:tc>
      </w:tr>
      <w:tr w:rsidR="00E04CD5" w:rsidRPr="00243C12" w14:paraId="2A77DC79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DE44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B105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58</w:t>
            </w:r>
          </w:p>
        </w:tc>
        <w:tc>
          <w:tcPr>
            <w:tcW w:w="1301" w:type="dxa"/>
            <w:vMerge/>
            <w:shd w:val="clear" w:color="auto" w:fill="FF9933"/>
            <w:vAlign w:val="center"/>
            <w:hideMark/>
          </w:tcPr>
          <w:p w14:paraId="03FFD62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8C7F84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A8D832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Lizondo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1ED5F9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Palmaline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el control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Eriophyes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sheldoni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(Ewing)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Actinedida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Eriophyidae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limón</w:t>
            </w:r>
          </w:p>
        </w:tc>
      </w:tr>
      <w:tr w:rsidR="00E04CD5" w:rsidRPr="00243C12" w14:paraId="3ECB8FD4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1DA8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985A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59</w:t>
            </w:r>
          </w:p>
        </w:tc>
        <w:tc>
          <w:tcPr>
            <w:tcW w:w="1301" w:type="dxa"/>
            <w:vMerge/>
            <w:shd w:val="clear" w:color="auto" w:fill="FF9933"/>
            <w:vAlign w:val="center"/>
            <w:hideMark/>
          </w:tcPr>
          <w:p w14:paraId="67C9F16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93EAEB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4C0B7F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Machado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05D1A6C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Enfoque basado en redes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coexpresión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genes para comprender la infección del HLB en cítricos</w:t>
            </w:r>
          </w:p>
        </w:tc>
      </w:tr>
      <w:tr w:rsidR="00E04CD5" w:rsidRPr="00243C12" w14:paraId="18123EAB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995C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2C98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60</w:t>
            </w:r>
          </w:p>
        </w:tc>
        <w:tc>
          <w:tcPr>
            <w:tcW w:w="1301" w:type="dxa"/>
            <w:vMerge/>
            <w:shd w:val="clear" w:color="auto" w:fill="FF9933"/>
            <w:vAlign w:val="center"/>
            <w:hideMark/>
          </w:tcPr>
          <w:p w14:paraId="6E89432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2E1776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EAF3EA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Mitidieri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40467E2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“in vitro” de extracto comercial y casero de ajo sobre el crecimiento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Xanthomonas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axonodis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pv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</w:p>
        </w:tc>
      </w:tr>
      <w:tr w:rsidR="00E04CD5" w:rsidRPr="00243C12" w14:paraId="7A5D57B8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AD96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1F4A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61</w:t>
            </w:r>
          </w:p>
        </w:tc>
        <w:tc>
          <w:tcPr>
            <w:tcW w:w="1301" w:type="dxa"/>
            <w:vMerge/>
            <w:shd w:val="clear" w:color="auto" w:fill="FF9933"/>
            <w:vAlign w:val="center"/>
            <w:hideMark/>
          </w:tcPr>
          <w:p w14:paraId="56C31D5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64912F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C69FD8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Pechi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92EFAEE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Enemigos naturales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Hemiptera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Psyllidae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presentes en cítricos en el sur de Uruguay</w:t>
            </w:r>
          </w:p>
        </w:tc>
      </w:tr>
      <w:tr w:rsidR="00E04CD5" w:rsidRPr="00243C12" w14:paraId="074A1D2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B372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1045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62</w:t>
            </w:r>
          </w:p>
        </w:tc>
        <w:tc>
          <w:tcPr>
            <w:tcW w:w="1301" w:type="dxa"/>
            <w:vMerge/>
            <w:shd w:val="clear" w:color="auto" w:fill="FF9933"/>
            <w:vAlign w:val="center"/>
            <w:hideMark/>
          </w:tcPr>
          <w:p w14:paraId="218FE6D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897247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95EADB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Pereira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03B2011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Dispersión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Hemiptera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: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Psyliidae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frente a diferentes estadios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fenólogicos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brotación en plantas cítricas</w:t>
            </w:r>
          </w:p>
        </w:tc>
      </w:tr>
      <w:tr w:rsidR="00E04CD5" w:rsidRPr="00243C12" w14:paraId="0ACC80E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DD12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E0A3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63</w:t>
            </w:r>
          </w:p>
        </w:tc>
        <w:tc>
          <w:tcPr>
            <w:tcW w:w="1301" w:type="dxa"/>
            <w:vMerge w:val="restart"/>
            <w:shd w:val="clear" w:color="auto" w:fill="FF3300"/>
            <w:noWrap/>
            <w:vAlign w:val="center"/>
            <w:hideMark/>
          </w:tcPr>
          <w:p w14:paraId="6FBB4855" w14:textId="77777777" w:rsidR="000D1F83" w:rsidRPr="000D1F83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17:00-18:</w:t>
            </w:r>
            <w:r w:rsidR="000D1F83"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45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ED2C8F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77538C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Pérez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710CE7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Factores asociados a la dispersión temporal de la enfermedad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huanglongbing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el departamento del Atlántico, Colombia</w:t>
            </w:r>
          </w:p>
        </w:tc>
      </w:tr>
      <w:tr w:rsidR="00E04CD5" w:rsidRPr="00243C12" w14:paraId="0F4360DF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A963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22DA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64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6FD24F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87F3F3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4A9F38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Pierotti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6EF8EBA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Efecto del manejo agronómico de lotes citrícolas sobre los depredadores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</w:p>
        </w:tc>
      </w:tr>
      <w:tr w:rsidR="00E04CD5" w:rsidRPr="00243C12" w14:paraId="36BB7B41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802A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BCBD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65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1887CFE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D3F676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46E7A6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Roig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D5AFD7D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Uso de drones para control del minador de los cítricos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Phyllocnistis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citrella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Stainton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</w:t>
            </w:r>
          </w:p>
        </w:tc>
      </w:tr>
      <w:tr w:rsidR="00E04CD5" w:rsidRPr="00243C12" w14:paraId="471AADC6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4341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F61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66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D4C2AB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E107A3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92C621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Sabaté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6BB363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Control de una gramínea utilizando herbicidas de origen no sintético para manejo orgánico de quintas cítricas</w:t>
            </w:r>
          </w:p>
        </w:tc>
      </w:tr>
      <w:tr w:rsidR="00E04CD5" w:rsidRPr="00243C12" w14:paraId="0389809F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952B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B20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67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2D59CE2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9468CC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2947E1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Santos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5B74973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Potencial uso de formulaciones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Bacillus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subtilis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el control biológico de la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los cítricos</w:t>
            </w:r>
          </w:p>
        </w:tc>
      </w:tr>
      <w:tr w:rsidR="00E04CD5" w:rsidRPr="00243C12" w14:paraId="79B13A0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7FDF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610D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68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4871FA5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79D2EA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41370B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Tapia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8D90C14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Abundancia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Diaphorina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Kuwayama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tres especies cítricas de la provincia de Jujuy, Argentina</w:t>
            </w:r>
          </w:p>
        </w:tc>
      </w:tr>
      <w:tr w:rsidR="00E04CD5" w:rsidRPr="00243C12" w14:paraId="3F67728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CD5F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87AD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69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0B0E0A8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34B60D1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72132D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Velozo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FA7B213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Avances en la cría masiva y liberación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Tamarixia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radiata en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Biofábrica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Bella Vista, Corrientes, Argentina</w:t>
            </w:r>
          </w:p>
        </w:tc>
      </w:tr>
      <w:tr w:rsidR="00E04CD5" w:rsidRPr="00243C12" w14:paraId="6F67CF65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2310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1023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70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BFFA65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99C483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B8A66D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Viana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797A37D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Fluctuación poblacional y disponibilidad de hospederos alternativos para moscas de la fruta en el departamento de Concordia, Entre Ríos</w:t>
            </w:r>
          </w:p>
        </w:tc>
      </w:tr>
      <w:tr w:rsidR="00E04CD5" w:rsidRPr="00243C12" w14:paraId="193BB894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C3F7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C8A8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71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7E0B617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15A6045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00705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Vitoria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4E390EE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Ajuste del protocolo de determinación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Phyllosticta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citricarpa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McAlpine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frutas cítricas por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qPCR</w:t>
            </w:r>
            <w:proofErr w:type="spellEnd"/>
          </w:p>
        </w:tc>
      </w:tr>
      <w:tr w:rsidR="00E04CD5" w:rsidRPr="00243C12" w14:paraId="61346D2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4CF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90AC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72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55F9E1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040560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F3158E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Vitoria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032C9A9F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Ajuste de la metodología de extracción de ADN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Phyllosticta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citricarpa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McAlpine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diagnostico por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qPCR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INTA Yuto</w:t>
            </w:r>
          </w:p>
        </w:tc>
      </w:tr>
      <w:tr w:rsidR="00E04CD5" w:rsidRPr="00243C12" w14:paraId="7434D7F5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D1FA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4456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73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74A6497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A5C5E8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4A318D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Page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FFDBC7C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Cinética de degradación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pirimetanil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etión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naranja</w:t>
            </w:r>
          </w:p>
        </w:tc>
      </w:tr>
      <w:tr w:rsidR="00E04CD5" w:rsidRPr="00243C12" w14:paraId="3A1DA4B0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DB60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D3DA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74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8421277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9CB5C4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A0536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Page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6AD86EB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Desarrollo de una metodología analítica por GC/MS aplicada al estudio de ocurrencia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imazalil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malatión en naranjas</w:t>
            </w:r>
          </w:p>
        </w:tc>
      </w:tr>
      <w:tr w:rsidR="00E04CD5" w:rsidRPr="00243C12" w14:paraId="41B5680F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3BA1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1EF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75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481F3FE0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1E2532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29D1D1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Silva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3072DDD8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Inocuidad de los jugos cítricos industriales de la región del Rio Uruguay</w:t>
            </w:r>
          </w:p>
        </w:tc>
      </w:tr>
      <w:tr w:rsidR="00E04CD5" w:rsidRPr="00243C12" w14:paraId="3F9886CD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5D0F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E01B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80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5C65E5C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C2E25D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16E9BA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Benestante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2B56E4E9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Influencia de la humedad de semillas cítricas y de los solventes en la calidad de aceites vegetales extraídos</w:t>
            </w:r>
          </w:p>
        </w:tc>
      </w:tr>
      <w:tr w:rsidR="00E04CD5" w:rsidRPr="00243C12" w14:paraId="100F89BB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83D3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2340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81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3F23262B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27C24D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F9E81E2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Bordagaray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6EE987E7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Tecnología de envases activos revalorizando subproductos de la industria cítrica</w:t>
            </w:r>
          </w:p>
        </w:tc>
      </w:tr>
      <w:tr w:rsidR="00E04CD5" w:rsidRPr="00243C12" w14:paraId="2C41972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3721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DE90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82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55417C3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C485A6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EC0C8E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Carrín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14E83B8F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Evaluación de la Extracción Asistida por Ultrasonido para obtener extractos de semillas de limón</w:t>
            </w:r>
          </w:p>
        </w:tc>
      </w:tr>
      <w:tr w:rsidR="00E04CD5" w:rsidRPr="00243C12" w14:paraId="4C892BAA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12BA1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A59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83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3AF5680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3A5A9C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56EA563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Carrín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0CB9111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Valorización de harinas desgrasadas de semillas de limón: Efecto del contenido de humedad y del solvente de extracción</w:t>
            </w:r>
          </w:p>
        </w:tc>
      </w:tr>
      <w:tr w:rsidR="00E04CD5" w:rsidRPr="00243C12" w14:paraId="0B323470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D079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8850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84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0514CD64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0A18395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E5D7BED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Golato</w:t>
            </w:r>
            <w:proofErr w:type="spellEnd"/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43681674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Monitoreo de emisiones de MPT y MP10 efluentes por chimeneas de secadores de cáscara de limón de la industria citrícola de Tucumán, Argentina</w:t>
            </w:r>
          </w:p>
        </w:tc>
      </w:tr>
      <w:tr w:rsidR="00E04CD5" w:rsidRPr="00243C12" w14:paraId="49840817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6D6E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CC609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85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6546467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540B607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3805F0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Molina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7ECAEA1B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Incremento Del Potencial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Metanización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Residuos Sólidos Citrícola Mediante Pretratamiento Enzimático</w:t>
            </w:r>
          </w:p>
        </w:tc>
      </w:tr>
      <w:tr w:rsidR="00E04CD5" w:rsidRPr="00243C12" w14:paraId="74C1E3B9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744FA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E16D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86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1CA019A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45047DFF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8627C2C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Urroz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55428A56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Contenido de </w:t>
            </w:r>
            <w:proofErr w:type="spellStart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limonina</w:t>
            </w:r>
            <w:proofErr w:type="spellEnd"/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jugos frescos de naranjas de la región del NEA sometidas a tratamiento térmico</w:t>
            </w:r>
          </w:p>
        </w:tc>
      </w:tr>
      <w:tr w:rsidR="00E04CD5" w:rsidRPr="00E04CD5" w14:paraId="56FAD65C" w14:textId="77777777" w:rsidTr="00100E7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A324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7DA96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87</w:t>
            </w:r>
          </w:p>
        </w:tc>
        <w:tc>
          <w:tcPr>
            <w:tcW w:w="1301" w:type="dxa"/>
            <w:vMerge/>
            <w:shd w:val="clear" w:color="auto" w:fill="FF3300"/>
            <w:vAlign w:val="center"/>
            <w:hideMark/>
          </w:tcPr>
          <w:p w14:paraId="3B096B9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3710AB8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2B51BA5" w14:textId="77777777" w:rsidR="000D1F83" w:rsidRPr="000D1F83" w:rsidRDefault="000D1F83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Zamora</w:t>
            </w:r>
          </w:p>
        </w:tc>
        <w:tc>
          <w:tcPr>
            <w:tcW w:w="5216" w:type="dxa"/>
            <w:shd w:val="clear" w:color="auto" w:fill="auto"/>
            <w:noWrap/>
            <w:vAlign w:val="center"/>
            <w:hideMark/>
          </w:tcPr>
          <w:p w14:paraId="08F26AE0" w14:textId="77777777" w:rsidR="000D1F83" w:rsidRPr="000D1F83" w:rsidRDefault="000D1F83" w:rsidP="00E0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0D1F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Estudio preliminar de los parámetros reológicos de jugos de limón de Tucumán, Argentina</w:t>
            </w:r>
          </w:p>
        </w:tc>
      </w:tr>
    </w:tbl>
    <w:p w14:paraId="6FFE7018" w14:textId="77777777" w:rsidR="000D1F83" w:rsidRPr="00E04CD5" w:rsidRDefault="000D1F83" w:rsidP="000D1F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kern w:val="0"/>
          <w:sz w:val="20"/>
          <w:szCs w:val="20"/>
          <w:lang w:eastAsia="es-419"/>
          <w14:ligatures w14:val="none"/>
        </w:rPr>
      </w:pPr>
    </w:p>
    <w:p w14:paraId="0F1F3F69" w14:textId="77777777" w:rsidR="00E04CD5" w:rsidRPr="00E04CD5" w:rsidRDefault="00E04CD5" w:rsidP="00E04CD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</w:pPr>
      <w:r w:rsidRPr="00E04CD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 xml:space="preserve">Día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>jueves</w:t>
      </w:r>
      <w:r w:rsidRPr="00E04CD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>8</w:t>
      </w:r>
      <w:r w:rsidRPr="00E04CD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es-419"/>
          <w14:ligatures w14:val="none"/>
        </w:rPr>
        <w:t xml:space="preserve"> de junio</w:t>
      </w:r>
    </w:p>
    <w:p w14:paraId="3CD047D5" w14:textId="77777777" w:rsidR="000D1F83" w:rsidRPr="000D1F83" w:rsidRDefault="000D1F83" w:rsidP="000D1F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kern w:val="0"/>
          <w:sz w:val="20"/>
          <w:szCs w:val="20"/>
          <w:lang w:eastAsia="es-419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64"/>
        <w:gridCol w:w="1337"/>
        <w:gridCol w:w="616"/>
        <w:gridCol w:w="1208"/>
        <w:gridCol w:w="5358"/>
      </w:tblGrid>
      <w:tr w:rsidR="00243C12" w:rsidRPr="00E04CD5" w14:paraId="1C7B2A91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60820F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N° panel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A6A3E76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N° póster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8EAF381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Turno de exposición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8C965E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Eje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47193C0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 xml:space="preserve">Apellido </w:t>
            </w:r>
            <w:r w:rsidR="00243C12" w:rsidRPr="00243C12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 xml:space="preserve">del </w:t>
            </w: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autor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443E1367" w14:textId="77777777" w:rsidR="00E04CD5" w:rsidRPr="00E04CD5" w:rsidRDefault="00E04CD5" w:rsidP="00243C1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s-419"/>
                <w14:ligatures w14:val="none"/>
              </w:rPr>
              <w:t>Título</w:t>
            </w:r>
          </w:p>
        </w:tc>
      </w:tr>
      <w:tr w:rsidR="00243C12" w:rsidRPr="00E04CD5" w14:paraId="1E482AAB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1CAF7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84BB0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FFCC99"/>
            <w:noWrap/>
            <w:vAlign w:val="center"/>
            <w:hideMark/>
          </w:tcPr>
          <w:p w14:paraId="0606ED7C" w14:textId="77777777" w:rsidR="00E04CD5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8:</w:t>
            </w:r>
            <w:r w:rsidR="00E04CD5"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-10:30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D1528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3583D3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Alayón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2B3152F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Tres nuevos portainjertos híbridos de cítricos, su crecimiento inicial y tolerancia a diferentes condiciones de conductividad eléctrica producto de la fertilización</w:t>
            </w:r>
          </w:p>
        </w:tc>
      </w:tr>
      <w:tr w:rsidR="00243C12" w:rsidRPr="00E04CD5" w14:paraId="2588F39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9954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0160C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2BEA4F7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F66EC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704A22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Beltrán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7CCC40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6 portainjertos híbridos para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tangor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Murcott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reticulata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× C.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sinensis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</w:t>
            </w:r>
          </w:p>
        </w:tc>
      </w:tr>
      <w:tr w:rsidR="00243C12" w:rsidRPr="00E04CD5" w14:paraId="45344FAF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F4F64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D985A7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58D3067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2AC7DB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E5FB7F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Beltrán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9203F9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calidad de frutas de limón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. L.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Osbeck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variedad Eureka clon 22, con dos sistemas de manejo de lote</w:t>
            </w:r>
          </w:p>
        </w:tc>
      </w:tr>
      <w:tr w:rsidR="00243C12" w:rsidRPr="00E04CD5" w14:paraId="2B36A8A3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E1BF8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7D2E1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425D8A2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98A300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561039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Ferreyra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5D36E2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Inducción in vitro de callos de 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sinensis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la utilización en experimentos de edición de genes de susceptibilidad a HLB</w:t>
            </w:r>
          </w:p>
        </w:tc>
      </w:tr>
      <w:tr w:rsidR="00243C12" w:rsidRPr="00E04CD5" w14:paraId="1129C7F1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F04B7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8BA3F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4B1E1A4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E26CE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577ED3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Figueroa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4D381D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Colecciones cítricas de la EEAOC- Banco de germoplasma protegido</w:t>
            </w:r>
          </w:p>
        </w:tc>
      </w:tr>
      <w:tr w:rsidR="00243C12" w:rsidRPr="00E04CD5" w14:paraId="405CA691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E8151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7CB63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6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3F68418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A71CE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F0BC41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Ledesma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16EBD2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Transformación genética de los portainjertos 61AA3 y 75AB para incrementar la tolerancia al estrés abiótico</w:t>
            </w:r>
          </w:p>
        </w:tc>
      </w:tr>
      <w:tr w:rsidR="00243C12" w:rsidRPr="00E04CD5" w14:paraId="1778434E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ED12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59D1A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13CBE3E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F2192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5BB2AD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Ledesma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867F6E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Selección asistida por marcadores moleculares para la determinación de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poliembrionía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portainjertos híbridos</w:t>
            </w:r>
          </w:p>
        </w:tc>
      </w:tr>
      <w:tr w:rsidR="00243C12" w:rsidRPr="00E04CD5" w14:paraId="66E1F944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BAC81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9A585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073C00E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3FBB56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A6BD4B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Lezcano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65CC3A3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Optimización de enraizamiento de estacas de portainjertos como alternativa para la multiplicación y caracterización de cítricos transgénicos</w:t>
            </w:r>
          </w:p>
        </w:tc>
      </w:tr>
      <w:tr w:rsidR="00243C12" w:rsidRPr="00E04CD5" w14:paraId="22DF9AA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2482C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1B9639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002F195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9EACA0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F55890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Medina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F77680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Optimización de métodos de extracción de ácidos nucleicos en diversas variedades de citrus</w:t>
            </w:r>
          </w:p>
        </w:tc>
      </w:tr>
      <w:tr w:rsidR="00243C12" w:rsidRPr="00E04CD5" w14:paraId="36E41203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73BFF8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C6031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10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6E7102F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08C6CE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63A3DA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Pereira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235CB6F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Susceptibilidad de frutos de naranja con diferentes niveles de terpenos a la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cancrosis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los cítricos y la mancha negra</w:t>
            </w:r>
          </w:p>
        </w:tc>
      </w:tr>
      <w:tr w:rsidR="00243C12" w:rsidRPr="00E04CD5" w14:paraId="4CE98B66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93CAF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EDEBEB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11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52479A3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F530F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C64318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Perondi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4ACD9C1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Caracterización y evaluación preliminar de pomelo blanco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paradisi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Macfadyen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var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Marsh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Seeddless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sobre portainjerto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Citrandarin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X639 Sudáfrica (C.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resnhi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Hort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. Ex. Tan. X P.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trifoliata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) (L.)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Raf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.).</w:t>
            </w:r>
          </w:p>
        </w:tc>
      </w:tr>
      <w:tr w:rsidR="00243C12" w:rsidRPr="00E04CD5" w14:paraId="3AD02B29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695A39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lastRenderedPageBreak/>
              <w:t>12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5B2BCE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12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55053E2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52E81B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433F72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Recalde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89D04D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Presentación de nuevas variedades de mandarina adaptadas a la región del rio Uruguay</w:t>
            </w:r>
          </w:p>
        </w:tc>
      </w:tr>
      <w:tr w:rsidR="00243C12" w:rsidRPr="00E04CD5" w14:paraId="785047B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F14A96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6B472C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13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43A4B86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1440FE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B22F6B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Rivas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760D17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Obtención de nuevos parentales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monoembriónicos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tetraploides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cítricos</w:t>
            </w:r>
          </w:p>
        </w:tc>
      </w:tr>
      <w:tr w:rsidR="00243C12" w:rsidRPr="00E04CD5" w14:paraId="5CC3F177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DB81D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210A02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14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22DB93A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BBADE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70B610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Valdéz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A95B81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Comportamiento de 5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portaingertos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híbridos para limoneros Lisboa Frost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Nucelar</w:t>
            </w:r>
            <w:proofErr w:type="spellEnd"/>
          </w:p>
        </w:tc>
      </w:tr>
      <w:tr w:rsidR="00243C12" w:rsidRPr="00E04CD5" w14:paraId="0DE7C6E1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135B8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AB99E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15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333BBB1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5850D1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C54EE5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Valdéz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1498E6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Programa de Mejoramiento Genético de Cítricos de la Estación Experimental Agroindustrial Obispo Colombres</w:t>
            </w:r>
          </w:p>
        </w:tc>
      </w:tr>
      <w:tr w:rsidR="00243C12" w:rsidRPr="00E04CD5" w14:paraId="4D149F75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C55C9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7DBED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16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700ED12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7A0AC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BFD214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Aranda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8F2939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fenológica de limón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(L.)), en la provincia de Tucumán</w:t>
            </w:r>
          </w:p>
        </w:tc>
      </w:tr>
      <w:tr w:rsidR="00243C12" w:rsidRPr="00E04CD5" w14:paraId="472B7EF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B362DA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82844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17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2219C0D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1077CD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74C958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Aranda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40102A1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Estimación de la altura y el volumen de copa de limonero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(L.)) mediante el uso de dron y un método manual</w:t>
            </w:r>
          </w:p>
        </w:tc>
      </w:tr>
      <w:tr w:rsidR="00243C12" w:rsidRPr="00E04CD5" w14:paraId="3A42765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B3601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E7A245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18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2ED0796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ECEBBB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C03232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Carcaño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F6895A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Evaluación de diferentes residuos de la industria como componentes de sustratos para la producción de plantas cítricas bajo cobertura plástica</w:t>
            </w:r>
          </w:p>
        </w:tc>
      </w:tr>
      <w:tr w:rsidR="00243C12" w:rsidRPr="00E04CD5" w14:paraId="0BD451F9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C2004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791917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19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76873F4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92681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4B045A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Correa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696CBE7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Respuesta productiva y densidad radicular de limonero (Citrus limón) con aplicación de una enmienda orgánica líquida en Tucumán</w:t>
            </w:r>
          </w:p>
        </w:tc>
      </w:tr>
      <w:tr w:rsidR="00243C12" w:rsidRPr="00E04CD5" w14:paraId="1307E23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59766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220290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20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06D3DDA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8E9E6F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04D7EA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Díaz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8006AA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Potencial energético de la madera de poda en la provincia de Tucumán</w:t>
            </w:r>
          </w:p>
        </w:tc>
      </w:tr>
      <w:tr w:rsidR="00243C12" w:rsidRPr="00E04CD5" w14:paraId="087B3D8F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7EC44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DBA2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21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7D1A5D0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76EC11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EF32F9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Fandos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2761E7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Monitoreo de la edad del monte cítrico de la provincia de Tucumán en el periodo 2018-2022</w:t>
            </w:r>
          </w:p>
        </w:tc>
      </w:tr>
      <w:tr w:rsidR="00243C12" w:rsidRPr="00E04CD5" w14:paraId="36E9D196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F53C4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15D8B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22</w:t>
            </w:r>
          </w:p>
        </w:tc>
        <w:tc>
          <w:tcPr>
            <w:tcW w:w="1337" w:type="dxa"/>
            <w:vMerge/>
            <w:shd w:val="clear" w:color="auto" w:fill="FFCC99"/>
            <w:vAlign w:val="center"/>
            <w:hideMark/>
          </w:tcPr>
          <w:p w14:paraId="3A27648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497C6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235FC3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Gastaminza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4C1AB04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Impacto del momento de realización de la poda mecánica en la producción de limón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). Análisis de caso</w:t>
            </w:r>
          </w:p>
        </w:tc>
      </w:tr>
      <w:tr w:rsidR="00243C12" w:rsidRPr="00E04CD5" w14:paraId="4A9A411D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1A450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1D6053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23</w:t>
            </w:r>
          </w:p>
        </w:tc>
        <w:tc>
          <w:tcPr>
            <w:tcW w:w="1337" w:type="dxa"/>
            <w:vMerge w:val="restart"/>
            <w:shd w:val="clear" w:color="auto" w:fill="FF9933"/>
            <w:noWrap/>
            <w:vAlign w:val="center"/>
            <w:hideMark/>
          </w:tcPr>
          <w:p w14:paraId="6A92DE41" w14:textId="77777777" w:rsidR="00E04CD5" w:rsidRPr="00E04CD5" w:rsidRDefault="007B6A71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15:10-16:10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65443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AF6112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Gastaminza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CFDAB1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la poda mecánica del limonero (Citrus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) en verano y su incidencia productiva, sanitaria y económica</w:t>
            </w:r>
          </w:p>
        </w:tc>
      </w:tr>
      <w:tr w:rsidR="00243C12" w:rsidRPr="00E04CD5" w14:paraId="0AB8362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C0DD9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028EF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24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2133D67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B7CF1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28FF40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Micheloud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79282F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Prácticas de manejo para la mejora del cuajado de frutos sobre la carga de naranjos ‘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Navelate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’</w:t>
            </w:r>
          </w:p>
        </w:tc>
      </w:tr>
      <w:tr w:rsidR="00243C12" w:rsidRPr="00E04CD5" w14:paraId="6B74C11F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02FF0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FF004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25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22BB190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EBC354C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555AC4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Micheloud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2C0046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Relación del nivel de fertilización inicial primaveral con el índice SPAD, el nitrógeno foliar y los resultados productivos del cv. ‘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Navelate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’</w:t>
            </w:r>
          </w:p>
        </w:tc>
      </w:tr>
      <w:tr w:rsidR="00243C12" w:rsidRPr="00E04CD5" w14:paraId="5CFB44EE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21B1D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CAFFDB1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26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26A4238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F3BCA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E99E906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Mika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18D838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Comportamiento fenológico ante los cambios climáticos en la región citrícola del río Uruguay</w:t>
            </w:r>
          </w:p>
        </w:tc>
      </w:tr>
      <w:tr w:rsidR="00243C12" w:rsidRPr="00E04CD5" w14:paraId="67DEF908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E90408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F08E56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27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43561A4E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93BF37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BF8AB0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Rodriguez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DC5C9E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Aplicaciones foliares con nutrientes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nanoparticulados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su comparación con fertilizantes granulados</w:t>
            </w:r>
          </w:p>
        </w:tc>
      </w:tr>
      <w:tr w:rsidR="00243C12" w:rsidRPr="00E04CD5" w14:paraId="5E12AFE4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04938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9B8F6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28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3CD9770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DB71C5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4C6C0D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Roig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7E101E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Efecto de la aplicación de ácido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giberélico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para retardar el cambio de color en frutos de limonero en Tucumán</w:t>
            </w:r>
          </w:p>
        </w:tc>
      </w:tr>
      <w:tr w:rsidR="00243C12" w:rsidRPr="00E04CD5" w14:paraId="004C72E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F2A7C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11B50FD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76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7FFECFA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D70258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25CCEB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Allori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D73032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Manejo de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poscosecha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limón orgánico: compatibilidad de cepas de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Trichoderma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bicarbonato de sodio in vitro</w:t>
            </w:r>
          </w:p>
        </w:tc>
      </w:tr>
      <w:tr w:rsidR="00243C12" w:rsidRPr="00E04CD5" w14:paraId="7197FC65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E16F00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6C0D5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77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0A49CA77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BE8F1D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292072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Morales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728C199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Naranja 'Lane Late' ¿cómo afecta el tratamiento de cuarentena por frío a la calidad sensorial percibida por los consumidores?</w:t>
            </w:r>
          </w:p>
        </w:tc>
      </w:tr>
      <w:tr w:rsidR="00243C12" w:rsidRPr="00E04CD5" w14:paraId="2A974017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BAAB9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55DEA2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78</w:t>
            </w:r>
          </w:p>
        </w:tc>
        <w:tc>
          <w:tcPr>
            <w:tcW w:w="1337" w:type="dxa"/>
            <w:vMerge/>
            <w:shd w:val="clear" w:color="auto" w:fill="FF9933"/>
            <w:vAlign w:val="center"/>
            <w:hideMark/>
          </w:tcPr>
          <w:p w14:paraId="1B4A9C6F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600EEA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828F08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Orellana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159FB2B3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Evaluación de la susceptibilidad de tres variedades de limón en tres estados de madurez frente a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Penicillium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digitatum</w:t>
            </w:r>
            <w:proofErr w:type="spellEnd"/>
          </w:p>
        </w:tc>
      </w:tr>
      <w:tr w:rsidR="00243C12" w:rsidRPr="00E04CD5" w14:paraId="54D1E0E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827BA4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CDE86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79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FF9933"/>
            <w:vAlign w:val="center"/>
            <w:hideMark/>
          </w:tcPr>
          <w:p w14:paraId="7D5A204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95CBC5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EB6F50B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Pérez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2BE394D8" w14:textId="77777777" w:rsidR="00E04CD5" w:rsidRPr="00E04CD5" w:rsidRDefault="00E04CD5" w:rsidP="00E0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Detección de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Penicillium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digitatum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, P.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italicum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y P.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ulaiense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en 5 años de monitoreos ambientales en plantas de empaque de Uruguay</w:t>
            </w:r>
          </w:p>
        </w:tc>
      </w:tr>
      <w:tr w:rsidR="007B6A71" w:rsidRPr="00E04CD5" w14:paraId="086650C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</w:tcPr>
          <w:p w14:paraId="12AD23B5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95EC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noWrap/>
            <w:vAlign w:val="center"/>
          </w:tcPr>
          <w:p w14:paraId="7D6736ED" w14:textId="77777777" w:rsidR="007B6A71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B32B2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38AE67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Garzón</w:t>
            </w:r>
          </w:p>
        </w:tc>
        <w:tc>
          <w:tcPr>
            <w:tcW w:w="5358" w:type="dxa"/>
            <w:shd w:val="clear" w:color="auto" w:fill="auto"/>
            <w:noWrap/>
            <w:vAlign w:val="center"/>
          </w:tcPr>
          <w:p w14:paraId="22B80360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Comparación de Gastos del Manejo Convencional vs el MIP en el control del complejo de Mosca de la Fruta de una Producción de Naranjas en Jujuy</w:t>
            </w:r>
          </w:p>
        </w:tc>
      </w:tr>
      <w:tr w:rsidR="007B6A71" w:rsidRPr="00E04CD5" w14:paraId="59472C6A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364A32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0D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89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noWrap/>
            <w:vAlign w:val="center"/>
            <w:hideMark/>
          </w:tcPr>
          <w:p w14:paraId="04C89E45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17:00-</w:t>
            </w: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18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:00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8B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F5FA81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Paredes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3BF9F18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Competitividad del limón argentino en el periodo 2014-2021</w:t>
            </w:r>
          </w:p>
        </w:tc>
      </w:tr>
      <w:tr w:rsidR="007B6A71" w:rsidRPr="00E04CD5" w14:paraId="7D9CB468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D06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67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7CE7C6A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E6D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513ABE2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Paredes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EB5C03C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Evolución de la comercialización y del precio del limón y sus subproductos con origen en Tucumán en el período 2016-2022</w:t>
            </w:r>
          </w:p>
        </w:tc>
      </w:tr>
      <w:tr w:rsidR="007B6A71" w:rsidRPr="00E04CD5" w14:paraId="1604AA6F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FC1E839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36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C905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328A977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711F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8BD714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Trupiano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6AF816B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Alternativas de producción para una citricultura sostenible en el Noreste de Entre Ríos</w:t>
            </w:r>
          </w:p>
        </w:tc>
      </w:tr>
      <w:tr w:rsidR="007B6A71" w:rsidRPr="00E04CD5" w14:paraId="5B193B3F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C0B1F84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37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7D2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92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5C643091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F7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ECCDF11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Buono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4496752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El perfil tecnológico como herramienta de extensión e investigación para la caracterización de la </w:t>
            </w: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limonicultura</w:t>
            </w:r>
            <w:proofErr w:type="spellEnd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 xml:space="preserve"> de Jujuy</w:t>
            </w:r>
          </w:p>
        </w:tc>
      </w:tr>
      <w:tr w:rsidR="007B6A71" w:rsidRPr="00E04CD5" w14:paraId="37686FC2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02D72B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38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36A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93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5AF54104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BDF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CBBAF5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Carbajo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741EE8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Los actores sociales en la citricultura tucumana y la problemática del HLB</w:t>
            </w:r>
          </w:p>
        </w:tc>
      </w:tr>
      <w:tr w:rsidR="007B6A71" w:rsidRPr="00E04CD5" w14:paraId="7ED65DB7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9440AA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lastRenderedPageBreak/>
              <w:t>39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5C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6C5B8280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3D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CC4BB9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Carreras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025E830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Evolución de la superficie plantada con cítricos en la provincia de Tucumán, período 2012-2022</w:t>
            </w:r>
          </w:p>
        </w:tc>
      </w:tr>
      <w:tr w:rsidR="007B6A71" w:rsidRPr="00E04CD5" w14:paraId="38C23E97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D62714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DC8B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200A95C5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5A4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135393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Carreras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1E0D11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Diferenciación de distintos marcos de plantación en cultivo de limón, mediante la utilización de herramientas de SIG y teledetección</w:t>
            </w:r>
          </w:p>
        </w:tc>
      </w:tr>
      <w:tr w:rsidR="007B6A71" w:rsidRPr="00E04CD5" w14:paraId="28EDEF0C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7FB87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742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96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1853F82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115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9EA718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Fernandez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32134940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Investigación e innovación en red para potenciar la inocuidad y calidad de la fruta cítrica en postcosecha</w:t>
            </w:r>
          </w:p>
        </w:tc>
      </w:tr>
      <w:tr w:rsidR="007B6A71" w:rsidRPr="00E04CD5" w14:paraId="4F24F785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F86E2F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42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DE3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97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3E048EFD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3CA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7771B19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proofErr w:type="spellStart"/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Giancola</w:t>
            </w:r>
            <w:proofErr w:type="spellEnd"/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F5731F8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Perspectivas de adopción del Manejo Integrado de plagas (MIP) en un contexto de avance del complejo HLB-vector</w:t>
            </w:r>
          </w:p>
        </w:tc>
      </w:tr>
      <w:tr w:rsidR="007B6A71" w:rsidRPr="00E04CD5" w14:paraId="69A171B7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38900B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0F6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0D2F347A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E41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04D2DD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Mika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7BE3B4F1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Efectos de la sequía sobre los cítricos en la región del río Uruguay</w:t>
            </w:r>
          </w:p>
        </w:tc>
      </w:tr>
      <w:tr w:rsidR="007B6A71" w:rsidRPr="00E04CD5" w14:paraId="60B4AAED" w14:textId="77777777" w:rsidTr="007B6A71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947688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44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5AD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99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3300"/>
            <w:vAlign w:val="center"/>
            <w:hideMark/>
          </w:tcPr>
          <w:p w14:paraId="3E41EADE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B82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67DBA11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Morales</w:t>
            </w:r>
          </w:p>
        </w:tc>
        <w:tc>
          <w:tcPr>
            <w:tcW w:w="5358" w:type="dxa"/>
            <w:shd w:val="clear" w:color="auto" w:fill="auto"/>
            <w:noWrap/>
            <w:vAlign w:val="center"/>
            <w:hideMark/>
          </w:tcPr>
          <w:p w14:paraId="505825F3" w14:textId="77777777" w:rsidR="007B6A71" w:rsidRPr="00E04CD5" w:rsidRDefault="007B6A71" w:rsidP="007B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</w:pPr>
            <w:r w:rsidRPr="00E04C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419"/>
                <w14:ligatures w14:val="none"/>
              </w:rPr>
              <w:t>Evolución de la superficie y del número de productores citrícolas en la provincia de Tucumán</w:t>
            </w:r>
          </w:p>
        </w:tc>
      </w:tr>
    </w:tbl>
    <w:p w14:paraId="0E0E2329" w14:textId="77777777" w:rsidR="00E04CD5" w:rsidRDefault="00E04CD5">
      <w:pPr>
        <w:rPr>
          <w:rFonts w:ascii="Arial" w:hAnsi="Arial" w:cs="Arial"/>
          <w:sz w:val="20"/>
          <w:szCs w:val="20"/>
        </w:rPr>
      </w:pPr>
    </w:p>
    <w:p w14:paraId="4F67A64C" w14:textId="77777777" w:rsidR="007B6A71" w:rsidRPr="005A2145" w:rsidRDefault="007B6A71" w:rsidP="005A214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es-419"/>
          <w14:ligatures w14:val="none"/>
        </w:rPr>
      </w:pPr>
      <w:r w:rsidRPr="005A214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es-419"/>
          <w14:ligatures w14:val="none"/>
        </w:rPr>
        <w:t>Código QR</w:t>
      </w:r>
    </w:p>
    <w:p w14:paraId="5663999C" w14:textId="46F047E5" w:rsidR="00676A59" w:rsidRDefault="007B6A71" w:rsidP="005A214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</w:pPr>
      <w:r w:rsidRPr="007B6A7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Los expositores que deseen incluir un código QR </w:t>
      </w:r>
      <w:r w:rsidR="005A214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de su póster en su panel para que otros asistentes puedan descargar el póster</w:t>
      </w:r>
      <w:r w:rsidR="005A2145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, deberán </w:t>
      </w:r>
      <w:r w:rsidR="00676A59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subir el archivo en formato PDF a </w:t>
      </w:r>
      <w:r w:rsid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una</w:t>
      </w:r>
      <w:r w:rsidR="00676A59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nube</w:t>
      </w:r>
      <w:r w:rsid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de su elección,</w:t>
      </w:r>
      <w:r w:rsidR="00676A59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y enviarnos el link</w:t>
      </w:r>
      <w:r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de</w:t>
      </w:r>
      <w:r w:rsid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l archivo</w:t>
      </w:r>
      <w:r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</w:t>
      </w:r>
      <w:r w:rsidR="00676A59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al</w:t>
      </w:r>
      <w:r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correo</w:t>
      </w:r>
      <w:r w:rsidR="00394AA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</w:t>
      </w:r>
      <w:hyperlink r:id="rId4" w:tgtFrame="_blank" w:history="1">
        <w:r w:rsidR="00F14D08" w:rsidRPr="00F14D08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es-419"/>
            <w14:ligatures w14:val="none"/>
          </w:rPr>
          <w:t>resumenes@xcongresocitricultura.ar</w:t>
        </w:r>
      </w:hyperlink>
      <w:r w:rsidR="00F14D08">
        <w:rPr>
          <w:rStyle w:val="Hipervnculo"/>
          <w:rFonts w:ascii="Montserrat" w:hAnsi="Montserrat"/>
          <w:sz w:val="18"/>
          <w:szCs w:val="18"/>
        </w:rPr>
        <w:t xml:space="preserve"> </w:t>
      </w:r>
      <w:r w:rsidR="00676A59" w:rsidRP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Tener en cuenta de habilitar el acceso de otras personas a ese archivo cuando se comparta el link</w:t>
      </w:r>
      <w:r w:rsidR="00676A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.</w:t>
      </w:r>
    </w:p>
    <w:p w14:paraId="4608D402" w14:textId="77777777" w:rsidR="007B6A71" w:rsidRPr="007B6A71" w:rsidRDefault="007B6A71" w:rsidP="005A2145">
      <w:pPr>
        <w:shd w:val="clear" w:color="auto" w:fill="FFFFFF"/>
        <w:spacing w:before="24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</w:pPr>
      <w:r w:rsidRPr="007B6A7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La organización se encargará de generar el código QR </w:t>
      </w:r>
      <w:r w:rsidR="005A214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y pegarlo en el panel </w:t>
      </w:r>
      <w:r w:rsidRPr="007B6A7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>junto al poster el día de la exposición. Tienen tiempo hasta el lunes 5</w:t>
      </w:r>
      <w:r w:rsidR="005A214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s-419"/>
          <w14:ligatures w14:val="none"/>
        </w:rPr>
        <w:t xml:space="preserve"> de junio del 2023 para enviarlo.</w:t>
      </w:r>
    </w:p>
    <w:sectPr w:rsidR="007B6A71" w:rsidRPr="007B6A71" w:rsidSect="00E04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83"/>
    <w:rsid w:val="00037A94"/>
    <w:rsid w:val="000D1F83"/>
    <w:rsid w:val="00100E71"/>
    <w:rsid w:val="00243C12"/>
    <w:rsid w:val="00394AAD"/>
    <w:rsid w:val="005A2145"/>
    <w:rsid w:val="00676A59"/>
    <w:rsid w:val="007B6A71"/>
    <w:rsid w:val="00870461"/>
    <w:rsid w:val="00B74889"/>
    <w:rsid w:val="00E04CD5"/>
    <w:rsid w:val="00EE7B51"/>
    <w:rsid w:val="00F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032C"/>
  <w15:chartTrackingRefBased/>
  <w15:docId w15:val="{F2B0BC96-CCB7-4158-8C02-6E0BE241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nes@xcongresocitricultur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Maximiliano Ronchi</cp:lastModifiedBy>
  <cp:revision>2</cp:revision>
  <cp:lastPrinted>2023-06-01T02:11:00Z</cp:lastPrinted>
  <dcterms:created xsi:type="dcterms:W3CDTF">2023-06-01T22:09:00Z</dcterms:created>
  <dcterms:modified xsi:type="dcterms:W3CDTF">2023-06-01T22:09:00Z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3f58e996b454600445a30c220a8e236e7fd65061e1be9981b5b91d9620bebbef</vt:lpwstr>
  </property>
</Properties>
</file>